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djustRightInd w:val="0"/>
        <w:snapToGrid w:val="0"/>
        <w:spacing w:line="520" w:lineRule="exact"/>
        <w:rPr>
          <w:rFonts w:hint="eastAsia" w:eastAsia="仿宋_GB2312" w:cs="仿宋_GB2312"/>
          <w:color w:val="000000"/>
          <w:sz w:val="32"/>
          <w:szCs w:val="32"/>
        </w:rPr>
      </w:pPr>
      <w:r>
        <w:rPr>
          <w:rFonts w:hint="eastAsia" w:eastAsia="仿宋_GB2312" w:cs="仿宋_GB2312"/>
          <w:color w:val="000000"/>
          <w:sz w:val="32"/>
          <w:szCs w:val="32"/>
        </w:rPr>
        <w:t>附件：</w:t>
      </w:r>
    </w:p>
    <w:p>
      <w:pPr>
        <w:spacing w:line="520" w:lineRule="exact"/>
        <w:jc w:val="center"/>
        <w:rPr>
          <w:rFonts w:hint="eastAsia" w:eastAsia="方正小标宋_GBK"/>
          <w:sz w:val="36"/>
          <w:szCs w:val="36"/>
        </w:rPr>
      </w:pPr>
      <w:r>
        <w:rPr>
          <w:rFonts w:hint="eastAsia" w:eastAsia="方正小标宋_GBK"/>
          <w:sz w:val="36"/>
          <w:szCs w:val="36"/>
        </w:rPr>
        <w:t>选题方向</w:t>
      </w:r>
    </w:p>
    <w:p>
      <w:pPr>
        <w:adjustRightInd w:val="0"/>
        <w:snapToGrid w:val="0"/>
        <w:spacing w:line="560" w:lineRule="exact"/>
        <w:rPr>
          <w:rFonts w:hint="eastAsia" w:eastAsia="仿宋_GB2312" w:cs="仿宋"/>
          <w:b/>
          <w:bCs/>
          <w:sz w:val="32"/>
          <w:szCs w:val="32"/>
        </w:rPr>
      </w:pPr>
    </w:p>
    <w:p>
      <w:pPr>
        <w:adjustRightInd w:val="0"/>
        <w:snapToGrid w:val="0"/>
        <w:spacing w:line="560" w:lineRule="exact"/>
        <w:rPr>
          <w:rFonts w:hint="eastAsia" w:eastAsia="仿宋_GB2312" w:cs="仿宋"/>
          <w:b/>
          <w:bCs/>
          <w:sz w:val="32"/>
          <w:szCs w:val="32"/>
        </w:rPr>
      </w:pPr>
      <w:r>
        <w:rPr>
          <w:rFonts w:hint="eastAsia" w:eastAsia="仿宋_GB2312" w:cs="仿宋"/>
          <w:b/>
          <w:bCs/>
          <w:sz w:val="32"/>
          <w:szCs w:val="32"/>
        </w:rPr>
        <w:t>党的十九届四中全会精神研究专项项目：</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1、新发展理念视域下南京韧性城市建设研究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2、构建南京公共安全与突发事件共治体系研究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3、特大城市治理背景下优化南京营商环境的体制机制研究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4、把党的领导落实到市域治理各领域各方面研究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5、以执行力为中心提升后疫情时期南京基层社会治理能力研究</w:t>
      </w:r>
    </w:p>
    <w:p>
      <w:pPr>
        <w:autoSpaceDE w:val="0"/>
        <w:adjustRightInd w:val="0"/>
        <w:snapToGrid w:val="0"/>
        <w:spacing w:line="560" w:lineRule="exact"/>
        <w:rPr>
          <w:rFonts w:hint="eastAsia" w:eastAsia="仿宋_GB2312" w:cs="仿宋_GB2312"/>
          <w:b/>
          <w:sz w:val="32"/>
          <w:szCs w:val="32"/>
        </w:rPr>
      </w:pPr>
      <w:r>
        <w:rPr>
          <w:rFonts w:hint="eastAsia" w:eastAsia="仿宋_GB2312" w:cs="仿宋_GB2312"/>
          <w:b/>
          <w:sz w:val="32"/>
          <w:szCs w:val="32"/>
        </w:rPr>
        <w:t>重大项目：</w:t>
      </w:r>
    </w:p>
    <w:p>
      <w:pPr>
        <w:autoSpaceDE w:val="0"/>
        <w:adjustRightInd w:val="0"/>
        <w:snapToGrid w:val="0"/>
        <w:spacing w:line="560" w:lineRule="exact"/>
        <w:rPr>
          <w:rFonts w:eastAsia="仿宋_GB2312" w:cs="仿宋_GB2312"/>
          <w:sz w:val="32"/>
          <w:szCs w:val="32"/>
        </w:rPr>
      </w:pPr>
      <w:r>
        <w:rPr>
          <w:rFonts w:eastAsia="仿宋_GB2312" w:cs="仿宋_GB2312"/>
          <w:sz w:val="32"/>
          <w:szCs w:val="32"/>
        </w:rPr>
        <w:t>1</w:t>
      </w:r>
      <w:r>
        <w:rPr>
          <w:rFonts w:hint="eastAsia" w:eastAsia="仿宋_GB2312" w:cs="仿宋_GB2312"/>
          <w:sz w:val="32"/>
          <w:szCs w:val="32"/>
        </w:rPr>
        <w:t>、南京夜间经济发展的问题与对策研究</w:t>
      </w:r>
    </w:p>
    <w:p>
      <w:pPr>
        <w:autoSpaceDE w:val="0"/>
        <w:adjustRightInd w:val="0"/>
        <w:snapToGrid w:val="0"/>
        <w:spacing w:line="560" w:lineRule="exact"/>
        <w:rPr>
          <w:rFonts w:eastAsia="仿宋_GB2312" w:cs="仿宋_GB2312"/>
          <w:sz w:val="32"/>
          <w:szCs w:val="32"/>
        </w:rPr>
      </w:pPr>
      <w:r>
        <w:rPr>
          <w:rFonts w:eastAsia="仿宋_GB2312" w:cs="仿宋_GB2312"/>
          <w:sz w:val="32"/>
          <w:szCs w:val="32"/>
        </w:rPr>
        <w:t>2</w:t>
      </w:r>
      <w:r>
        <w:rPr>
          <w:rFonts w:hint="eastAsia" w:eastAsia="仿宋_GB2312" w:cs="仿宋_GB2312"/>
          <w:sz w:val="32"/>
          <w:szCs w:val="32"/>
        </w:rPr>
        <w:t>、自贸区战略下南京推动高质量健康产业发展的路径研究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3、南京市域治理现代化的创新理念与路径探索</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4、“十四五”时期南京文化发展的突破点研究</w:t>
      </w:r>
    </w:p>
    <w:p>
      <w:pPr>
        <w:autoSpaceDE w:val="0"/>
        <w:adjustRightInd w:val="0"/>
        <w:snapToGrid w:val="0"/>
        <w:spacing w:line="560" w:lineRule="exact"/>
        <w:rPr>
          <w:rFonts w:hint="eastAsia" w:eastAsia="仿宋_GB2312" w:cs="仿宋"/>
          <w:b/>
          <w:bCs/>
          <w:sz w:val="32"/>
          <w:szCs w:val="32"/>
        </w:rPr>
      </w:pPr>
      <w:r>
        <w:rPr>
          <w:rFonts w:hint="eastAsia" w:eastAsia="仿宋_GB2312" w:cs="仿宋"/>
          <w:b/>
          <w:bCs/>
          <w:sz w:val="32"/>
          <w:szCs w:val="32"/>
        </w:rPr>
        <w:t>重点项目：</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1、“文学之都”建设与城市文化生活有机融合研究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2、南京文化的国际品牌建设与传播研究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3、新技术对宣传思想工作的影响与应对策略研究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4、用好大数据提高社会治理现代化水平研究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5、加强新时代公立医院党的建设的实践与思考</w:t>
      </w:r>
    </w:p>
    <w:p>
      <w:pPr>
        <w:adjustRightInd w:val="0"/>
        <w:snapToGrid w:val="0"/>
        <w:spacing w:line="560" w:lineRule="exact"/>
        <w:rPr>
          <w:rFonts w:hint="eastAsia" w:eastAsia="仿宋_GB2312" w:cs="仿宋"/>
          <w:b/>
          <w:bCs/>
          <w:w w:val="90"/>
          <w:sz w:val="32"/>
          <w:szCs w:val="32"/>
        </w:rPr>
      </w:pPr>
      <w:r>
        <w:rPr>
          <w:rFonts w:hint="eastAsia" w:eastAsia="仿宋_GB2312" w:cs="仿宋"/>
          <w:b/>
          <w:bCs/>
          <w:w w:val="90"/>
          <w:sz w:val="32"/>
          <w:szCs w:val="32"/>
        </w:rPr>
        <w:t>一般（青年）项目：</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1、“十四五”长三角高铁网络建设对南京的区域空间影响研究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2、“四大战略”叠加下的南京发展突破点研究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3、南京科技成果转化立法研究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4、南京人才政策体系建设的效能评估研究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5、长江大保护背景下南京高质量发展研究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6、南京自贸区建设与“放管服”改革协同推进研究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7、检察机关服务保障自贸区建设研究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8、</w:t>
      </w:r>
      <w:r>
        <w:rPr>
          <w:rFonts w:hint="eastAsia" w:eastAsia="仿宋_GB2312" w:cs="仿宋_GB2312"/>
          <w:color w:val="000000"/>
          <w:sz w:val="32"/>
          <w:szCs w:val="32"/>
        </w:rPr>
        <w:t>公共资源交易评价体系的构建与应用研究</w:t>
      </w:r>
    </w:p>
    <w:p>
      <w:pPr>
        <w:autoSpaceDE w:val="0"/>
        <w:adjustRightInd w:val="0"/>
        <w:snapToGrid w:val="0"/>
        <w:spacing w:line="560" w:lineRule="exact"/>
        <w:rPr>
          <w:rFonts w:hint="eastAsia" w:eastAsia="仿宋_GB2312" w:cs="仿宋_GB2312"/>
          <w:color w:val="000000"/>
          <w:sz w:val="32"/>
          <w:szCs w:val="32"/>
        </w:rPr>
      </w:pPr>
      <w:r>
        <w:rPr>
          <w:rFonts w:hint="eastAsia" w:eastAsia="仿宋_GB2312" w:cs="仿宋_GB2312"/>
          <w:color w:val="000000"/>
          <w:sz w:val="32"/>
          <w:szCs w:val="32"/>
        </w:rPr>
        <w:t>9、高质量发展背景下政府审计容错纠错机制研究</w:t>
      </w:r>
    </w:p>
    <w:p>
      <w:pPr>
        <w:autoSpaceDE w:val="0"/>
        <w:adjustRightInd w:val="0"/>
        <w:snapToGrid w:val="0"/>
        <w:spacing w:line="560" w:lineRule="exact"/>
        <w:rPr>
          <w:rFonts w:hint="eastAsia" w:eastAsia="仿宋_GB2312" w:cs="仿宋_GB2312"/>
          <w:color w:val="000000"/>
          <w:sz w:val="32"/>
          <w:szCs w:val="32"/>
        </w:rPr>
      </w:pPr>
      <w:r>
        <w:rPr>
          <w:rFonts w:hint="eastAsia" w:eastAsia="仿宋_GB2312" w:cs="仿宋_GB2312"/>
          <w:color w:val="000000"/>
          <w:sz w:val="32"/>
          <w:szCs w:val="32"/>
        </w:rPr>
        <w:t>10、推进国土空间治理体系和治理能力现代化研究</w:t>
      </w:r>
    </w:p>
    <w:p>
      <w:pPr>
        <w:autoSpaceDE w:val="0"/>
        <w:adjustRightInd w:val="0"/>
        <w:snapToGrid w:val="0"/>
        <w:spacing w:line="560" w:lineRule="exact"/>
        <w:rPr>
          <w:rFonts w:hint="eastAsia" w:eastAsia="仿宋_GB2312" w:cs="仿宋_GB2312"/>
          <w:color w:val="000000"/>
          <w:sz w:val="32"/>
          <w:szCs w:val="32"/>
        </w:rPr>
      </w:pPr>
      <w:r>
        <w:rPr>
          <w:rFonts w:hint="eastAsia" w:eastAsia="仿宋_GB2312" w:cs="仿宋_GB2312"/>
          <w:color w:val="000000"/>
          <w:sz w:val="32"/>
          <w:szCs w:val="32"/>
        </w:rPr>
        <w:t>11、人民法院在推进市域社会治理现代化建设中的作用研究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color w:val="000000"/>
          <w:sz w:val="32"/>
          <w:szCs w:val="32"/>
        </w:rPr>
        <w:t>12、重大公共卫</w:t>
      </w:r>
      <w:r>
        <w:rPr>
          <w:rFonts w:hint="eastAsia" w:eastAsia="仿宋_GB2312" w:cs="仿宋_GB2312"/>
          <w:sz w:val="32"/>
          <w:szCs w:val="32"/>
        </w:rPr>
        <w:t>生事件中城区基层治理体系运作评估</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13、发挥优秀传统文化在南京基层社会治理中的作用研究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14、南京老旧小区物业管理融入社区治理的路径研究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15、新时代南京市国际社区治理研究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16、发挥</w:t>
      </w:r>
      <w:r>
        <w:rPr>
          <w:rFonts w:eastAsia="仿宋_GB2312" w:cs="仿宋_GB2312"/>
          <w:sz w:val="32"/>
          <w:szCs w:val="32"/>
        </w:rPr>
        <w:t>新时代文明实践中心</w:t>
      </w:r>
      <w:r>
        <w:rPr>
          <w:rFonts w:hint="eastAsia" w:eastAsia="仿宋_GB2312" w:cs="仿宋_GB2312"/>
          <w:sz w:val="32"/>
          <w:szCs w:val="32"/>
        </w:rPr>
        <w:t>在基层社会治理中的作用研究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17、南京健全重大决策社会稳定风险评估研究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18、南京科技型隐形冠军企业培育及创新能力提升研究</w:t>
      </w:r>
    </w:p>
    <w:p>
      <w:pPr>
        <w:autoSpaceDE w:val="0"/>
        <w:adjustRightInd w:val="0"/>
        <w:snapToGrid w:val="0"/>
        <w:spacing w:line="560" w:lineRule="exact"/>
        <w:rPr>
          <w:rFonts w:hint="eastAsia" w:eastAsia="仿宋_GB2312" w:cs="仿宋_GB2312"/>
          <w:color w:val="000000"/>
          <w:sz w:val="32"/>
          <w:szCs w:val="32"/>
        </w:rPr>
      </w:pPr>
      <w:r>
        <w:rPr>
          <w:rFonts w:hint="eastAsia" w:eastAsia="仿宋_GB2312" w:cs="仿宋_GB2312"/>
          <w:sz w:val="32"/>
          <w:szCs w:val="32"/>
        </w:rPr>
        <w:t>19、后疫情时代南京市金融创新</w:t>
      </w:r>
      <w:r>
        <w:rPr>
          <w:rFonts w:hint="eastAsia" w:eastAsia="仿宋_GB2312" w:cs="仿宋_GB2312"/>
          <w:color w:val="000000"/>
          <w:sz w:val="32"/>
          <w:szCs w:val="32"/>
        </w:rPr>
        <w:t>支持科技型小微企业高质量发展研究</w:t>
      </w:r>
    </w:p>
    <w:p>
      <w:pPr>
        <w:autoSpaceDE w:val="0"/>
        <w:adjustRightInd w:val="0"/>
        <w:snapToGrid w:val="0"/>
        <w:spacing w:line="560" w:lineRule="exact"/>
        <w:rPr>
          <w:rFonts w:hint="eastAsia" w:eastAsia="仿宋_GB2312" w:cs="仿宋_GB2312"/>
          <w:color w:val="000000"/>
          <w:sz w:val="32"/>
          <w:szCs w:val="32"/>
        </w:rPr>
      </w:pPr>
      <w:r>
        <w:rPr>
          <w:rFonts w:hint="eastAsia" w:eastAsia="仿宋_GB2312" w:cs="仿宋_GB2312"/>
          <w:color w:val="000000"/>
          <w:sz w:val="32"/>
          <w:szCs w:val="32"/>
        </w:rPr>
        <w:t>20、促进政府投资基金投资效率提升的路径研究</w:t>
      </w:r>
    </w:p>
    <w:p>
      <w:pPr>
        <w:autoSpaceDE w:val="0"/>
        <w:adjustRightInd w:val="0"/>
        <w:snapToGrid w:val="0"/>
        <w:spacing w:line="560" w:lineRule="exact"/>
        <w:rPr>
          <w:rFonts w:hint="eastAsia" w:eastAsia="仿宋_GB2312" w:cs="仿宋_GB2312"/>
          <w:color w:val="000000"/>
          <w:sz w:val="32"/>
          <w:szCs w:val="32"/>
        </w:rPr>
      </w:pPr>
      <w:r>
        <w:rPr>
          <w:rFonts w:hint="eastAsia" w:eastAsia="仿宋_GB2312" w:cs="仿宋_GB2312"/>
          <w:color w:val="000000"/>
          <w:sz w:val="32"/>
          <w:szCs w:val="32"/>
        </w:rPr>
        <w:t>21、数字经济时代南京数字科技发展与经济数字化转型研究</w:t>
      </w:r>
    </w:p>
    <w:p>
      <w:pPr>
        <w:autoSpaceDE w:val="0"/>
        <w:adjustRightInd w:val="0"/>
        <w:snapToGrid w:val="0"/>
        <w:spacing w:line="560" w:lineRule="exact"/>
        <w:rPr>
          <w:rFonts w:hint="eastAsia" w:eastAsia="仿宋_GB2312" w:cs="仿宋_GB2312"/>
          <w:color w:val="000000"/>
          <w:sz w:val="32"/>
          <w:szCs w:val="32"/>
        </w:rPr>
      </w:pPr>
      <w:r>
        <w:rPr>
          <w:rFonts w:hint="eastAsia" w:eastAsia="仿宋_GB2312" w:cs="仿宋_GB2312"/>
          <w:color w:val="000000"/>
          <w:sz w:val="32"/>
          <w:szCs w:val="32"/>
        </w:rPr>
        <w:t>22、创新构建南京多元多层次文化产业投融资机制研究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color w:val="000000"/>
          <w:sz w:val="32"/>
          <w:szCs w:val="32"/>
        </w:rPr>
        <w:t>2</w:t>
      </w:r>
      <w:r>
        <w:rPr>
          <w:rFonts w:hint="eastAsia" w:eastAsia="仿宋_GB2312" w:cs="仿宋_GB2312"/>
          <w:sz w:val="32"/>
          <w:szCs w:val="32"/>
        </w:rPr>
        <w:t>3、审计视角下的南京市属国有企业高质量发展研究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24、不断深化市级机关绩效管理动态化管理机制研究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25、南京市学前教育财政投入绩效评价研究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26、突发公共卫生事件背景下南京家庭医生制度建设研究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27、</w:t>
      </w:r>
      <w:r>
        <w:rPr>
          <w:rFonts w:eastAsia="仿宋_GB2312" w:cs="仿宋_GB2312"/>
          <w:sz w:val="32"/>
          <w:szCs w:val="32"/>
        </w:rPr>
        <w:t>新时代</w:t>
      </w:r>
      <w:r>
        <w:rPr>
          <w:rFonts w:hint="eastAsia" w:eastAsia="仿宋_GB2312" w:cs="仿宋_GB2312"/>
          <w:sz w:val="32"/>
          <w:szCs w:val="32"/>
        </w:rPr>
        <w:t>发挥南京</w:t>
      </w:r>
      <w:r>
        <w:rPr>
          <w:rFonts w:eastAsia="仿宋_GB2312" w:cs="仿宋_GB2312"/>
          <w:sz w:val="32"/>
          <w:szCs w:val="32"/>
        </w:rPr>
        <w:t>党史</w:t>
      </w:r>
      <w:r>
        <w:rPr>
          <w:rFonts w:hint="eastAsia" w:eastAsia="仿宋_GB2312" w:cs="仿宋_GB2312"/>
          <w:sz w:val="32"/>
          <w:szCs w:val="32"/>
        </w:rPr>
        <w:t>资源教育功能研究</w:t>
      </w:r>
    </w:p>
    <w:p>
      <w:pPr>
        <w:autoSpaceDE w:val="0"/>
        <w:adjustRightInd w:val="0"/>
        <w:snapToGrid w:val="0"/>
        <w:spacing w:line="560" w:lineRule="exact"/>
        <w:rPr>
          <w:rFonts w:hint="eastAsia" w:eastAsia="仿宋_GB2312" w:cs="仿宋_GB2312"/>
          <w:color w:val="000000"/>
          <w:sz w:val="32"/>
          <w:szCs w:val="32"/>
        </w:rPr>
      </w:pPr>
      <w:r>
        <w:rPr>
          <w:rFonts w:hint="eastAsia" w:eastAsia="仿宋_GB2312" w:cs="仿宋_GB2312"/>
          <w:color w:val="000000"/>
          <w:sz w:val="32"/>
          <w:szCs w:val="32"/>
        </w:rPr>
        <w:t>28、党建工作促进南京互联网企业社会效益与经济效益提升的对策与实践</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29、南京市村级党组织组织力提升的难点与对策研究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30、南京文化发展“十三五”评估与“十四五”规划思路</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31、南京“十四五”文化发展改革规划前瞻性研究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32、雨花英烈精神融入学校思想政治教育研究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33、新时代雨花台干部学院办学品牌化建设路径研究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34、</w:t>
      </w:r>
      <w:r>
        <w:rPr>
          <w:rFonts w:eastAsia="仿宋_GB2312" w:cs="仿宋_GB2312"/>
          <w:sz w:val="32"/>
          <w:szCs w:val="32"/>
        </w:rPr>
        <w:t>南京推进新时代公民道德建设路径研究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35、高校“思政课程”到“课程思政”探索研究</w:t>
      </w:r>
    </w:p>
    <w:p>
      <w:pPr>
        <w:autoSpaceDE w:val="0"/>
        <w:adjustRightInd w:val="0"/>
        <w:snapToGrid w:val="0"/>
        <w:spacing w:line="560" w:lineRule="exact"/>
        <w:rPr>
          <w:rFonts w:hint="eastAsia" w:eastAsia="仿宋_GB2312" w:cs="仿宋_GB2312"/>
          <w:sz w:val="32"/>
          <w:szCs w:val="32"/>
        </w:rPr>
      </w:pPr>
      <w:r>
        <w:rPr>
          <w:rFonts w:hint="eastAsia" w:eastAsia="仿宋_GB2312" w:cs="仿宋_GB2312"/>
          <w:sz w:val="32"/>
          <w:szCs w:val="32"/>
        </w:rPr>
        <w:t>36、新时代大学生思想行为特点及教育引导研究</w:t>
      </w:r>
    </w:p>
    <w:p>
      <w:pPr>
        <w:autoSpaceDE w:val="0"/>
        <w:adjustRightInd w:val="0"/>
        <w:snapToGrid w:val="0"/>
        <w:spacing w:line="560" w:lineRule="exact"/>
        <w:rPr>
          <w:rFonts w:hint="eastAsia" w:eastAsia="仿宋_GB2312" w:cs="仿宋_GB2312"/>
          <w:color w:val="000000"/>
          <w:sz w:val="32"/>
          <w:szCs w:val="32"/>
        </w:rPr>
      </w:pPr>
      <w:r>
        <w:rPr>
          <w:rFonts w:hint="eastAsia" w:eastAsia="仿宋_GB2312" w:cs="仿宋_GB2312"/>
          <w:color w:val="000000"/>
          <w:sz w:val="32"/>
          <w:szCs w:val="32"/>
        </w:rPr>
        <w:t>37、高中思政课教考中的政治认同培育研究</w:t>
      </w:r>
    </w:p>
    <w:p>
      <w:pPr>
        <w:autoSpaceDE w:val="0"/>
        <w:adjustRightInd w:val="0"/>
        <w:snapToGrid w:val="0"/>
        <w:spacing w:line="560" w:lineRule="exact"/>
        <w:rPr>
          <w:rFonts w:hint="eastAsia" w:eastAsia="仿宋_GB2312" w:cs="仿宋_GB2312"/>
          <w:color w:val="000000"/>
          <w:sz w:val="32"/>
          <w:szCs w:val="32"/>
        </w:rPr>
      </w:pPr>
      <w:r>
        <w:rPr>
          <w:rFonts w:hint="eastAsia" w:eastAsia="仿宋_GB2312" w:cs="仿宋_GB2312"/>
          <w:color w:val="000000"/>
          <w:sz w:val="32"/>
          <w:szCs w:val="32"/>
        </w:rPr>
        <w:t>38、以文化产业投资推动南京“文学之都”建设路径研究</w:t>
      </w:r>
    </w:p>
    <w:p>
      <w:pPr>
        <w:autoSpaceDE w:val="0"/>
        <w:adjustRightInd w:val="0"/>
        <w:snapToGrid w:val="0"/>
        <w:spacing w:line="560" w:lineRule="exact"/>
        <w:rPr>
          <w:rFonts w:hint="eastAsia" w:eastAsia="仿宋_GB2312" w:cs="仿宋_GB2312"/>
          <w:color w:val="000000"/>
          <w:sz w:val="32"/>
          <w:szCs w:val="32"/>
        </w:rPr>
      </w:pPr>
      <w:r>
        <w:rPr>
          <w:rFonts w:hint="eastAsia" w:eastAsia="仿宋_GB2312" w:cs="仿宋_GB2312"/>
          <w:color w:val="000000"/>
          <w:sz w:val="32"/>
          <w:szCs w:val="32"/>
        </w:rPr>
        <w:t>39、全球视野下的“世界文学之都”城市更新策略研究</w:t>
      </w:r>
    </w:p>
    <w:p>
      <w:pPr>
        <w:autoSpaceDE w:val="0"/>
        <w:adjustRightInd w:val="0"/>
        <w:snapToGrid w:val="0"/>
        <w:spacing w:line="560" w:lineRule="exact"/>
        <w:rPr>
          <w:rFonts w:hint="eastAsia" w:eastAsia="仿宋_GB2312" w:cs="仿宋_GB2312"/>
          <w:color w:val="000000"/>
          <w:sz w:val="32"/>
          <w:szCs w:val="32"/>
        </w:rPr>
      </w:pPr>
      <w:r>
        <w:rPr>
          <w:rFonts w:hint="eastAsia" w:eastAsia="仿宋_GB2312" w:cs="仿宋_GB2312"/>
          <w:color w:val="000000"/>
          <w:sz w:val="32"/>
          <w:szCs w:val="32"/>
        </w:rPr>
        <w:t>40、南京市新型智库建设与效能研究</w:t>
      </w:r>
    </w:p>
    <w:p>
      <w:pPr>
        <w:autoSpaceDE w:val="0"/>
        <w:adjustRightInd w:val="0"/>
        <w:snapToGrid w:val="0"/>
        <w:spacing w:line="560" w:lineRule="exact"/>
        <w:rPr>
          <w:rFonts w:hint="eastAsia" w:eastAsia="仿宋_GB2312" w:cs="仿宋_GB2312"/>
          <w:color w:val="000000"/>
          <w:sz w:val="32"/>
          <w:szCs w:val="32"/>
        </w:rPr>
      </w:pPr>
      <w:r>
        <w:rPr>
          <w:rFonts w:hint="eastAsia" w:eastAsia="仿宋_GB2312" w:cs="仿宋_GB2312"/>
          <w:color w:val="000000"/>
          <w:sz w:val="32"/>
          <w:szCs w:val="32"/>
        </w:rPr>
        <w:t>41、南京历史村落历史文化资源挖掘与乡村文化振兴研究</w:t>
      </w:r>
    </w:p>
    <w:p>
      <w:pPr>
        <w:autoSpaceDE w:val="0"/>
        <w:adjustRightInd w:val="0"/>
        <w:snapToGrid w:val="0"/>
        <w:spacing w:line="560" w:lineRule="exact"/>
        <w:rPr>
          <w:rFonts w:hint="eastAsia" w:eastAsia="仿宋_GB2312" w:cs="仿宋_GB2312"/>
          <w:color w:val="000000"/>
          <w:sz w:val="32"/>
          <w:szCs w:val="32"/>
        </w:rPr>
      </w:pPr>
      <w:r>
        <w:rPr>
          <w:rFonts w:hint="eastAsia" w:eastAsia="仿宋_GB2312" w:cs="仿宋_GB2312"/>
          <w:color w:val="000000"/>
          <w:sz w:val="32"/>
          <w:szCs w:val="32"/>
        </w:rPr>
        <w:t>42、新时代人道理念培育与传播的路径及实践研究</w:t>
      </w:r>
    </w:p>
    <w:p>
      <w:pPr>
        <w:autoSpaceDE w:val="0"/>
        <w:adjustRightInd w:val="0"/>
        <w:snapToGrid w:val="0"/>
        <w:spacing w:line="560" w:lineRule="exact"/>
        <w:rPr>
          <w:rFonts w:hint="eastAsia" w:eastAsia="仿宋_GB2312" w:cs="仿宋_GB2312"/>
          <w:color w:val="000000"/>
          <w:sz w:val="32"/>
          <w:szCs w:val="32"/>
        </w:rPr>
      </w:pPr>
      <w:r>
        <w:rPr>
          <w:rFonts w:hint="eastAsia" w:eastAsia="仿宋_GB2312" w:cs="仿宋_GB2312"/>
          <w:color w:val="000000"/>
          <w:sz w:val="32"/>
          <w:szCs w:val="32"/>
        </w:rPr>
        <w:t>43、预约参观条件下文博场馆服务品质提升研究</w:t>
      </w:r>
    </w:p>
    <w:p>
      <w:pPr>
        <w:tabs>
          <w:tab w:val="left" w:pos="1260"/>
        </w:tabs>
        <w:autoSpaceDE w:val="0"/>
        <w:adjustRightInd w:val="0"/>
        <w:snapToGrid w:val="0"/>
        <w:spacing w:line="560" w:lineRule="exact"/>
        <w:rPr>
          <w:rFonts w:hint="eastAsia" w:eastAsia="仿宋_GB2312" w:cs="仿宋_GB2312"/>
          <w:color w:val="000000"/>
          <w:sz w:val="32"/>
          <w:szCs w:val="32"/>
        </w:rPr>
      </w:pPr>
      <w:r>
        <w:rPr>
          <w:rFonts w:hint="eastAsia" w:eastAsia="仿宋_GB2312" w:cs="仿宋_GB2312"/>
          <w:color w:val="000000"/>
          <w:sz w:val="32"/>
          <w:szCs w:val="32"/>
        </w:rPr>
        <w:t>44、南京丝织业及云锦口述史料的整理与研究</w:t>
      </w:r>
    </w:p>
    <w:p>
      <w:bookmarkStart w:id="0" w:name="_GoBack"/>
      <w:bookmarkEnd w:id="0"/>
    </w:p>
    <w:sectPr>
      <w:footerReference r:id="rId3" w:type="default"/>
      <w:footerReference r:id="rId4" w:type="even"/>
      <w:pgSz w:w="12240" w:h="15840"/>
      <w:pgMar w:top="2098" w:right="1474" w:bottom="1985" w:left="1588" w:header="2098" w:footer="1701" w:gutter="0"/>
      <w:pgNumType w:start="1"/>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Style w:val="6"/>
        <w:rFonts w:hint="eastAsia"/>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1</w:t>
    </w:r>
    <w:r>
      <w:rPr>
        <w:rStyle w:val="6"/>
        <w:sz w:val="28"/>
        <w:szCs w:val="28"/>
      </w:rPr>
      <w:fldChar w:fldCharType="end"/>
    </w:r>
    <w:r>
      <w:rPr>
        <w:rStyle w:val="6"/>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E463A"/>
    <w:rsid w:val="559E4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 Char1"/>
    <w:basedOn w:val="1"/>
    <w:link w:val="4"/>
    <w:uiPriority w:val="0"/>
  </w:style>
  <w:style w:type="character" w:styleId="6">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2020-06-12T01:56:00Z</dcterms:created>
  <dc:creator>Administrator</dc:creator>
  <cp:lastModifiedBy>Administrator</cp:lastModifiedBy>
  <dcterms:modified xsi:type="dcterms:W3CDTF">2020-06-12T01:57:12Z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